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FC" w:rsidRPr="003261FC" w:rsidRDefault="003261FC" w:rsidP="003261FC">
      <w:pPr>
        <w:spacing w:after="0" w:line="240" w:lineRule="auto"/>
        <w:jc w:val="center"/>
        <w:rPr>
          <w:rFonts w:ascii="Arial" w:hAnsi="Arial" w:cs="Arial"/>
          <w:b/>
        </w:rPr>
      </w:pPr>
      <w:r w:rsidRPr="003261FC">
        <w:rPr>
          <w:rFonts w:ascii="Arial" w:hAnsi="Arial" w:cs="Arial"/>
          <w:b/>
        </w:rPr>
        <w:t xml:space="preserve">Análise da composição química volátil de </w:t>
      </w:r>
      <w:proofErr w:type="spellStart"/>
      <w:r w:rsidRPr="003261FC">
        <w:rPr>
          <w:rFonts w:ascii="Arial" w:hAnsi="Arial" w:cs="Arial"/>
          <w:b/>
          <w:i/>
        </w:rPr>
        <w:t>Lippia</w:t>
      </w:r>
      <w:proofErr w:type="spellEnd"/>
      <w:r w:rsidRPr="003261FC">
        <w:rPr>
          <w:rFonts w:ascii="Arial" w:hAnsi="Arial" w:cs="Arial"/>
          <w:b/>
          <w:i/>
        </w:rPr>
        <w:t xml:space="preserve"> </w:t>
      </w:r>
      <w:proofErr w:type="spellStart"/>
      <w:r w:rsidRPr="003261FC">
        <w:rPr>
          <w:rFonts w:ascii="Arial" w:hAnsi="Arial" w:cs="Arial"/>
          <w:b/>
          <w:i/>
        </w:rPr>
        <w:t>origanoides</w:t>
      </w:r>
      <w:proofErr w:type="spellEnd"/>
      <w:r w:rsidRPr="003261FC">
        <w:rPr>
          <w:rFonts w:ascii="Arial" w:hAnsi="Arial" w:cs="Arial"/>
          <w:b/>
        </w:rPr>
        <w:t xml:space="preserve"> sob diferentes condições de cultivo.</w:t>
      </w:r>
    </w:p>
    <w:p w:rsidR="00B45022" w:rsidRDefault="00B45022" w:rsidP="00B45022">
      <w:pPr>
        <w:spacing w:after="0" w:line="240" w:lineRule="auto"/>
        <w:jc w:val="center"/>
        <w:rPr>
          <w:rFonts w:ascii="Arial" w:hAnsi="Arial" w:cs="Arial"/>
        </w:rPr>
      </w:pPr>
    </w:p>
    <w:p w:rsidR="003261FC" w:rsidRPr="003261FC" w:rsidRDefault="003261FC" w:rsidP="003261FC">
      <w:pPr>
        <w:spacing w:after="0" w:line="240" w:lineRule="auto"/>
        <w:jc w:val="center"/>
        <w:rPr>
          <w:rFonts w:ascii="Arial" w:hAnsi="Arial" w:cs="Arial"/>
        </w:rPr>
      </w:pPr>
      <w:r w:rsidRPr="003261FC">
        <w:rPr>
          <w:rFonts w:ascii="Arial" w:hAnsi="Arial" w:cs="Arial"/>
        </w:rPr>
        <w:t>Caroline V.V. Castilho</w:t>
      </w:r>
      <w:r w:rsidRPr="003261FC">
        <w:rPr>
          <w:rFonts w:ascii="Arial" w:hAnsi="Arial" w:cs="Arial"/>
          <w:vertAlign w:val="superscript"/>
        </w:rPr>
        <w:t>1</w:t>
      </w:r>
      <w:r w:rsidRPr="003261FC">
        <w:rPr>
          <w:rFonts w:ascii="Arial" w:hAnsi="Arial" w:cs="Arial"/>
        </w:rPr>
        <w:t>, Vanessa D. Silva</w:t>
      </w:r>
      <w:r w:rsidRPr="003261FC">
        <w:rPr>
          <w:rFonts w:ascii="Arial" w:hAnsi="Arial" w:cs="Arial"/>
          <w:vertAlign w:val="superscript"/>
        </w:rPr>
        <w:t>1</w:t>
      </w:r>
      <w:r w:rsidRPr="003261FC">
        <w:rPr>
          <w:rFonts w:ascii="Arial" w:hAnsi="Arial" w:cs="Arial"/>
        </w:rPr>
        <w:t>, Humberto R. Bizzo</w:t>
      </w:r>
      <w:r w:rsidRPr="003261FC">
        <w:rPr>
          <w:rFonts w:ascii="Arial" w:hAnsi="Arial" w:cs="Arial"/>
          <w:vertAlign w:val="superscript"/>
        </w:rPr>
        <w:t>2</w:t>
      </w:r>
      <w:r w:rsidRPr="003261FC">
        <w:rPr>
          <w:rFonts w:ascii="Arial" w:hAnsi="Arial" w:cs="Arial"/>
        </w:rPr>
        <w:t xml:space="preserve">, </w:t>
      </w:r>
      <w:proofErr w:type="spellStart"/>
      <w:r w:rsidRPr="003261FC">
        <w:rPr>
          <w:rFonts w:ascii="Arial" w:hAnsi="Arial" w:cs="Arial"/>
        </w:rPr>
        <w:t>Marcelly</w:t>
      </w:r>
      <w:proofErr w:type="spellEnd"/>
      <w:r w:rsidRPr="003261FC">
        <w:rPr>
          <w:rFonts w:ascii="Arial" w:hAnsi="Arial" w:cs="Arial"/>
        </w:rPr>
        <w:t xml:space="preserve"> C. </w:t>
      </w:r>
      <w:proofErr w:type="gramStart"/>
      <w:r w:rsidRPr="003261FC">
        <w:rPr>
          <w:rFonts w:ascii="Arial" w:hAnsi="Arial" w:cs="Arial"/>
        </w:rPr>
        <w:t>S.Santos</w:t>
      </w:r>
      <w:proofErr w:type="gramEnd"/>
      <w:r w:rsidRPr="003261FC">
        <w:rPr>
          <w:rFonts w:ascii="Arial" w:hAnsi="Arial" w:cs="Arial"/>
          <w:vertAlign w:val="superscript"/>
        </w:rPr>
        <w:t>2</w:t>
      </w:r>
      <w:r w:rsidRPr="003261FC">
        <w:rPr>
          <w:rFonts w:ascii="Arial" w:hAnsi="Arial" w:cs="Arial"/>
        </w:rPr>
        <w:t>, Nina C. B. da Silva</w:t>
      </w:r>
      <w:r w:rsidRPr="003261FC">
        <w:rPr>
          <w:rFonts w:ascii="Arial" w:hAnsi="Arial" w:cs="Arial"/>
          <w:vertAlign w:val="superscript"/>
        </w:rPr>
        <w:t>1</w:t>
      </w:r>
      <w:r w:rsidRPr="003261FC">
        <w:rPr>
          <w:rFonts w:ascii="Arial" w:hAnsi="Arial" w:cs="Arial"/>
        </w:rPr>
        <w:t>, Suzana G. Leitão</w:t>
      </w:r>
      <w:r w:rsidRPr="003261FC">
        <w:rPr>
          <w:rFonts w:ascii="Arial" w:hAnsi="Arial" w:cs="Arial"/>
          <w:vertAlign w:val="superscript"/>
        </w:rPr>
        <w:t>1</w:t>
      </w:r>
    </w:p>
    <w:p w:rsidR="00B45022" w:rsidRDefault="00B45022" w:rsidP="00B45022">
      <w:pPr>
        <w:spacing w:after="0" w:line="240" w:lineRule="auto"/>
        <w:jc w:val="center"/>
        <w:rPr>
          <w:rFonts w:ascii="Arial" w:hAnsi="Arial" w:cs="Arial"/>
          <w:vertAlign w:val="superscript"/>
        </w:rPr>
      </w:pPr>
    </w:p>
    <w:p w:rsidR="00EB4B1C" w:rsidRPr="009658FC" w:rsidRDefault="00EB4B1C" w:rsidP="00B450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9658FC">
        <w:rPr>
          <w:rFonts w:ascii="Arial" w:hAnsi="Arial" w:cs="Arial"/>
          <w:sz w:val="20"/>
          <w:szCs w:val="20"/>
          <w:vertAlign w:val="superscript"/>
        </w:rPr>
        <w:t>1</w:t>
      </w:r>
      <w:r w:rsidRPr="009658FC">
        <w:rPr>
          <w:rFonts w:ascii="Arial" w:hAnsi="Arial" w:cs="Arial"/>
          <w:sz w:val="20"/>
          <w:szCs w:val="20"/>
        </w:rPr>
        <w:t>Universidade Federal do Rio de Janeiro - Rio de Janeiro, Brazil</w:t>
      </w:r>
    </w:p>
    <w:p w:rsidR="00EB4B1C" w:rsidRPr="009658FC" w:rsidRDefault="00B47AE2" w:rsidP="00B450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61FC">
        <w:rPr>
          <w:rFonts w:ascii="Arial" w:hAnsi="Arial" w:cs="Arial"/>
          <w:sz w:val="20"/>
          <w:szCs w:val="20"/>
          <w:vertAlign w:val="superscript"/>
        </w:rPr>
        <w:t>2</w:t>
      </w:r>
      <w:r w:rsidR="00EB4B1C" w:rsidRPr="009658FC">
        <w:rPr>
          <w:rFonts w:ascii="Arial" w:hAnsi="Arial" w:cs="Arial"/>
          <w:sz w:val="20"/>
          <w:szCs w:val="20"/>
        </w:rPr>
        <w:t xml:space="preserve">Embrapa </w:t>
      </w:r>
      <w:r w:rsidR="00923E60">
        <w:rPr>
          <w:rFonts w:ascii="Arial" w:hAnsi="Arial" w:cs="Arial"/>
          <w:sz w:val="20"/>
          <w:szCs w:val="20"/>
        </w:rPr>
        <w:t>Agroindústria de Alimentos</w:t>
      </w:r>
      <w:r w:rsidR="00EB4B1C" w:rsidRPr="009658FC">
        <w:rPr>
          <w:rFonts w:ascii="Arial" w:hAnsi="Arial" w:cs="Arial"/>
          <w:sz w:val="20"/>
          <w:szCs w:val="20"/>
        </w:rPr>
        <w:t xml:space="preserve"> - Av. das Américas, 29501 Rio de Janeiro, Brazil</w:t>
      </w:r>
    </w:p>
    <w:bookmarkEnd w:id="0"/>
    <w:p w:rsidR="003261FC" w:rsidRPr="003261FC" w:rsidRDefault="003261FC" w:rsidP="003261F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261FC">
        <w:rPr>
          <w:rFonts w:ascii="Arial" w:hAnsi="Arial" w:cs="Arial"/>
          <w:color w:val="000000" w:themeColor="text1"/>
          <w:sz w:val="20"/>
          <w:szCs w:val="20"/>
        </w:rPr>
        <w:t>caroline_vianna09@hotmail.com</w:t>
      </w:r>
    </w:p>
    <w:p w:rsidR="008251A1" w:rsidRPr="003261FC" w:rsidRDefault="008251A1" w:rsidP="00B45022">
      <w:pPr>
        <w:spacing w:after="0" w:line="240" w:lineRule="auto"/>
        <w:jc w:val="center"/>
        <w:rPr>
          <w:rFonts w:ascii="Arial" w:hAnsi="Arial" w:cs="Arial"/>
        </w:rPr>
      </w:pPr>
    </w:p>
    <w:p w:rsidR="003261FC" w:rsidRPr="003261FC" w:rsidRDefault="003261FC" w:rsidP="003261FC">
      <w:pPr>
        <w:spacing w:after="0" w:line="240" w:lineRule="auto"/>
        <w:jc w:val="both"/>
        <w:rPr>
          <w:rFonts w:ascii="Arial" w:hAnsi="Arial" w:cs="Arial"/>
        </w:rPr>
      </w:pPr>
      <w:r w:rsidRPr="003261FC">
        <w:rPr>
          <w:rFonts w:ascii="Arial" w:hAnsi="Arial" w:cs="Arial"/>
        </w:rPr>
        <w:t xml:space="preserve">Palavras-chave: </w:t>
      </w:r>
      <w:proofErr w:type="spellStart"/>
      <w:r w:rsidRPr="003261FC">
        <w:rPr>
          <w:rFonts w:ascii="Arial" w:hAnsi="Arial" w:cs="Arial"/>
        </w:rPr>
        <w:t>micropropagação</w:t>
      </w:r>
      <w:proofErr w:type="spellEnd"/>
      <w:r w:rsidRPr="003261FC">
        <w:rPr>
          <w:rFonts w:ascii="Arial" w:hAnsi="Arial" w:cs="Arial"/>
        </w:rPr>
        <w:t xml:space="preserve">, voláteis, </w:t>
      </w:r>
      <w:proofErr w:type="spellStart"/>
      <w:r w:rsidRPr="003261FC">
        <w:rPr>
          <w:rFonts w:ascii="Arial" w:hAnsi="Arial" w:cs="Arial"/>
        </w:rPr>
        <w:t>carvacrol</w:t>
      </w:r>
      <w:proofErr w:type="spellEnd"/>
      <w:r w:rsidRPr="003261FC">
        <w:rPr>
          <w:rFonts w:ascii="Arial" w:hAnsi="Arial" w:cs="Arial"/>
        </w:rPr>
        <w:t xml:space="preserve">, cultivo in vitro, cultivo </w:t>
      </w:r>
      <w:proofErr w:type="spellStart"/>
      <w:r w:rsidRPr="003261FC">
        <w:rPr>
          <w:rFonts w:ascii="Arial" w:hAnsi="Arial" w:cs="Arial"/>
        </w:rPr>
        <w:t>ex</w:t>
      </w:r>
      <w:proofErr w:type="spellEnd"/>
      <w:r w:rsidRPr="003261FC">
        <w:rPr>
          <w:rFonts w:ascii="Arial" w:hAnsi="Arial" w:cs="Arial"/>
        </w:rPr>
        <w:t xml:space="preserve"> vitro.</w:t>
      </w:r>
    </w:p>
    <w:p w:rsidR="00B45022" w:rsidRPr="003261FC" w:rsidRDefault="00B45022" w:rsidP="00B45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45022" w:rsidRPr="003261FC" w:rsidRDefault="00B45022" w:rsidP="00B45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261FC" w:rsidRPr="003261FC" w:rsidRDefault="003261FC" w:rsidP="003261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3261FC">
        <w:rPr>
          <w:rFonts w:ascii="Arial" w:eastAsia="Times New Roman" w:hAnsi="Arial" w:cs="Arial"/>
          <w:i/>
          <w:lang w:eastAsia="pt-BR"/>
        </w:rPr>
        <w:t>Lippia</w:t>
      </w:r>
      <w:proofErr w:type="spellEnd"/>
      <w:r w:rsidRPr="003261FC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3261FC">
        <w:rPr>
          <w:rFonts w:ascii="Arial" w:eastAsia="Times New Roman" w:hAnsi="Arial" w:cs="Arial"/>
          <w:i/>
          <w:lang w:eastAsia="pt-BR"/>
        </w:rPr>
        <w:t>origanoides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261FC">
        <w:rPr>
          <w:rFonts w:ascii="Arial" w:eastAsia="Times New Roman" w:hAnsi="Arial" w:cs="Arial"/>
          <w:lang w:eastAsia="pt-BR"/>
        </w:rPr>
        <w:t>Kunth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Pr="003261FC">
        <w:rPr>
          <w:rFonts w:ascii="Arial" w:eastAsia="Times New Roman" w:hAnsi="Arial" w:cs="Arial"/>
          <w:lang w:eastAsia="pt-BR"/>
        </w:rPr>
        <w:t>Verbenaceae</w:t>
      </w:r>
      <w:proofErr w:type="spellEnd"/>
      <w:r w:rsidRPr="003261FC">
        <w:rPr>
          <w:rFonts w:ascii="Arial" w:eastAsia="Times New Roman" w:hAnsi="Arial" w:cs="Arial"/>
          <w:lang w:eastAsia="pt-BR"/>
        </w:rPr>
        <w:t>) conhecida popularmente como salva-de-</w:t>
      </w:r>
      <w:proofErr w:type="spellStart"/>
      <w:r w:rsidRPr="003261FC">
        <w:rPr>
          <w:rFonts w:ascii="Arial" w:eastAsia="Times New Roman" w:hAnsi="Arial" w:cs="Arial"/>
          <w:lang w:eastAsia="pt-BR"/>
        </w:rPr>
        <w:t>marajó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e alecrim-de-tabuleiro é uma planta que cresce em habitats selvagens, com poucos estudos sobre a propagação e o desenvolvimento de variedades cultivadas, representando um risco para as suas populações e sustentabilidade dessa espécie (1,2). A composição volátil dessa planta varia de acordo com cinco </w:t>
      </w:r>
      <w:proofErr w:type="spellStart"/>
      <w:r w:rsidRPr="003261FC">
        <w:rPr>
          <w:rFonts w:ascii="Arial" w:eastAsia="Times New Roman" w:hAnsi="Arial" w:cs="Arial"/>
          <w:lang w:eastAsia="pt-BR"/>
        </w:rPr>
        <w:t>quimiotipos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: A- </w:t>
      </w:r>
      <w:r w:rsidRPr="003261FC">
        <w:rPr>
          <w:rFonts w:ascii="Arial" w:eastAsia="Times New Roman" w:hAnsi="Arial" w:cs="Arial"/>
          <w:i/>
          <w:lang w:eastAsia="pt-BR"/>
        </w:rPr>
        <w:t>p</w:t>
      </w:r>
      <w:r w:rsidRPr="003261FC">
        <w:rPr>
          <w:rFonts w:ascii="Arial" w:eastAsia="Times New Roman" w:hAnsi="Arial" w:cs="Arial"/>
          <w:lang w:eastAsia="pt-BR"/>
        </w:rPr>
        <w:t>-</w:t>
      </w:r>
      <w:proofErr w:type="spellStart"/>
      <w:r w:rsidRPr="003261FC">
        <w:rPr>
          <w:rFonts w:ascii="Arial" w:eastAsia="Times New Roman" w:hAnsi="Arial" w:cs="Arial"/>
          <w:lang w:eastAsia="pt-BR"/>
        </w:rPr>
        <w:t>cimeno</w:t>
      </w:r>
      <w:proofErr w:type="spellEnd"/>
      <w:r w:rsidRPr="003261FC">
        <w:rPr>
          <w:rFonts w:ascii="Arial" w:eastAsia="Times New Roman" w:hAnsi="Arial" w:cs="Arial"/>
          <w:lang w:eastAsia="pt-BR"/>
        </w:rPr>
        <w:t>, α- e β-</w:t>
      </w:r>
      <w:proofErr w:type="spellStart"/>
      <w:r w:rsidRPr="003261FC">
        <w:rPr>
          <w:rFonts w:ascii="Arial" w:eastAsia="Times New Roman" w:hAnsi="Arial" w:cs="Arial"/>
          <w:lang w:eastAsia="pt-BR"/>
        </w:rPr>
        <w:t>felandreno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3261FC">
        <w:rPr>
          <w:rFonts w:ascii="Arial" w:eastAsia="Times New Roman" w:hAnsi="Arial" w:cs="Arial"/>
          <w:lang w:eastAsia="pt-BR"/>
        </w:rPr>
        <w:t>limoneno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, B- </w:t>
      </w:r>
      <w:proofErr w:type="spellStart"/>
      <w:r w:rsidRPr="003261FC">
        <w:rPr>
          <w:rFonts w:ascii="Arial" w:eastAsia="Times New Roman" w:hAnsi="Arial" w:cs="Arial"/>
          <w:lang w:eastAsia="pt-BR"/>
        </w:rPr>
        <w:t>carvacrol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, C- timol, D- 1,8-cineol e </w:t>
      </w:r>
      <w:proofErr w:type="spellStart"/>
      <w:r w:rsidRPr="003261FC">
        <w:rPr>
          <w:rFonts w:ascii="Arial" w:eastAsia="Times New Roman" w:hAnsi="Arial" w:cs="Arial"/>
          <w:lang w:eastAsia="pt-BR"/>
        </w:rPr>
        <w:t>E</w:t>
      </w:r>
      <w:proofErr w:type="spellEnd"/>
      <w:r w:rsidRPr="003261FC">
        <w:rPr>
          <w:rFonts w:ascii="Arial" w:eastAsia="Times New Roman" w:hAnsi="Arial" w:cs="Arial"/>
          <w:lang w:eastAsia="pt-BR"/>
        </w:rPr>
        <w:t>- (</w:t>
      </w:r>
      <w:r w:rsidRPr="003261FC">
        <w:rPr>
          <w:rFonts w:ascii="Arial" w:eastAsia="Times New Roman" w:hAnsi="Arial" w:cs="Arial"/>
          <w:i/>
          <w:lang w:eastAsia="pt-BR"/>
        </w:rPr>
        <w:t>E</w:t>
      </w:r>
      <w:r w:rsidRPr="003261FC">
        <w:rPr>
          <w:rFonts w:ascii="Arial" w:eastAsia="Times New Roman" w:hAnsi="Arial" w:cs="Arial"/>
          <w:lang w:eastAsia="pt-BR"/>
        </w:rPr>
        <w:t>)-</w:t>
      </w:r>
      <w:proofErr w:type="spellStart"/>
      <w:r w:rsidRPr="003261FC">
        <w:rPr>
          <w:rFonts w:ascii="Arial" w:eastAsia="Times New Roman" w:hAnsi="Arial" w:cs="Arial"/>
          <w:lang w:eastAsia="pt-BR"/>
        </w:rPr>
        <w:t>cinamato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de metila e (E)-</w:t>
      </w:r>
      <w:proofErr w:type="spellStart"/>
      <w:r w:rsidRPr="003261FC">
        <w:rPr>
          <w:rFonts w:ascii="Arial" w:eastAsia="Times New Roman" w:hAnsi="Arial" w:cs="Arial"/>
          <w:lang w:eastAsia="pt-BR"/>
        </w:rPr>
        <w:t>nerolidol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. A técnica de cultura in vitro é uma alternativa para a produção sustentável e em larga escala de plantas medicinais e aromáticas (3,4). O objetivo deste estudo foi verificar a composição volátil de </w:t>
      </w:r>
      <w:r w:rsidRPr="003261FC">
        <w:rPr>
          <w:rFonts w:ascii="Arial" w:eastAsia="Times New Roman" w:hAnsi="Arial" w:cs="Arial"/>
          <w:i/>
          <w:lang w:eastAsia="pt-BR"/>
        </w:rPr>
        <w:t xml:space="preserve">L. </w:t>
      </w:r>
      <w:proofErr w:type="spellStart"/>
      <w:r w:rsidRPr="003261FC">
        <w:rPr>
          <w:rFonts w:ascii="Arial" w:eastAsia="Times New Roman" w:hAnsi="Arial" w:cs="Arial"/>
          <w:i/>
          <w:lang w:eastAsia="pt-BR"/>
        </w:rPr>
        <w:t>origanoides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sob o efeito de reguladores de crescimento in vitro, em comparação com a planta de campo e </w:t>
      </w:r>
      <w:proofErr w:type="spellStart"/>
      <w:r w:rsidRPr="003261FC">
        <w:rPr>
          <w:rFonts w:ascii="Arial" w:eastAsia="Times New Roman" w:hAnsi="Arial" w:cs="Arial"/>
          <w:lang w:eastAsia="pt-BR"/>
        </w:rPr>
        <w:t>ex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vitro. A planta de campo, proveniente da região Amazônica, foi mantida em casa de vegetação da região Serrana do Rio de Janeiro e, foi coletada em julho (2013), outubro (2014) e março (2015). As culturas dessa planta foram mantidas in vitro em meio básico (5), sem reguladores de crescimento (MS0) ou acrescido de diferentes concentrações de ácido naftaleno-acético, ácido </w:t>
      </w:r>
      <w:proofErr w:type="spellStart"/>
      <w:r w:rsidRPr="003261FC">
        <w:rPr>
          <w:rFonts w:ascii="Arial" w:eastAsia="Times New Roman" w:hAnsi="Arial" w:cs="Arial"/>
          <w:lang w:eastAsia="pt-BR"/>
        </w:rPr>
        <w:t>jasmônico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e ácido salicílico. As plantas mantidas em MS0 foram aclimatizadas </w:t>
      </w:r>
      <w:proofErr w:type="spellStart"/>
      <w:r w:rsidRPr="003261FC">
        <w:rPr>
          <w:rFonts w:ascii="Arial" w:eastAsia="Times New Roman" w:hAnsi="Arial" w:cs="Arial"/>
          <w:lang w:eastAsia="pt-BR"/>
        </w:rPr>
        <w:t>ex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vitro com 3 e 7 meses. Partes aéreas (5g) do material de campo, in vitro e </w:t>
      </w:r>
      <w:proofErr w:type="spellStart"/>
      <w:r w:rsidRPr="003261FC">
        <w:rPr>
          <w:rFonts w:ascii="Arial" w:eastAsia="Times New Roman" w:hAnsi="Arial" w:cs="Arial"/>
          <w:lang w:eastAsia="pt-BR"/>
        </w:rPr>
        <w:t>ex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vitro foram submetidas a destilação e extração simultâneas, por 3 h, coletando-se os voláteis em diclorometano. A análise dos voláteis foi feita por CG-DIC e CG-EM, em sistema </w:t>
      </w:r>
      <w:proofErr w:type="spellStart"/>
      <w:r w:rsidRPr="003261FC">
        <w:rPr>
          <w:rFonts w:ascii="Arial" w:eastAsia="Times New Roman" w:hAnsi="Arial" w:cs="Arial"/>
          <w:lang w:eastAsia="pt-BR"/>
        </w:rPr>
        <w:t>Agilent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6890N e </w:t>
      </w:r>
      <w:proofErr w:type="spellStart"/>
      <w:r w:rsidRPr="003261FC">
        <w:rPr>
          <w:rFonts w:ascii="Arial" w:eastAsia="Times New Roman" w:hAnsi="Arial" w:cs="Arial"/>
          <w:lang w:eastAsia="pt-BR"/>
        </w:rPr>
        <w:t>Agilent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5973N, com coluna capilar HP-5MS, sistema </w:t>
      </w:r>
      <w:proofErr w:type="spellStart"/>
      <w:r w:rsidRPr="003261FC">
        <w:rPr>
          <w:rFonts w:ascii="Arial" w:eastAsia="Times New Roman" w:hAnsi="Arial" w:cs="Arial"/>
          <w:lang w:eastAsia="pt-BR"/>
        </w:rPr>
        <w:t>Shimadzu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GC-2010, com coluna capilar DB-5</w:t>
      </w:r>
      <w:proofErr w:type="gramStart"/>
      <w:r w:rsidRPr="003261FC">
        <w:rPr>
          <w:rFonts w:ascii="Arial" w:eastAsia="Times New Roman" w:hAnsi="Arial" w:cs="Arial"/>
          <w:lang w:eastAsia="pt-BR"/>
        </w:rPr>
        <w:t>MS(</w:t>
      </w:r>
      <w:proofErr w:type="gramEnd"/>
      <w:r w:rsidRPr="003261FC">
        <w:rPr>
          <w:rFonts w:ascii="Arial" w:eastAsia="Times New Roman" w:hAnsi="Arial" w:cs="Arial"/>
          <w:lang w:eastAsia="pt-BR"/>
        </w:rPr>
        <w:t xml:space="preserve">30 m × 0,25 mm × 0,25 </w:t>
      </w:r>
      <w:proofErr w:type="spellStart"/>
      <w:r w:rsidRPr="003261FC">
        <w:rPr>
          <w:rFonts w:ascii="Arial" w:eastAsia="Times New Roman" w:hAnsi="Arial" w:cs="Arial"/>
          <w:lang w:eastAsia="pt-BR"/>
        </w:rPr>
        <w:t>μm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) e fluxo de 1,0mL/min. A programação de temperatura foi de 60 a 290ºC (3ºC/min) e o detector de massas foi operado em modo de ionização eletrônica a 70eV. As substâncias foram identificadas por comparação de seu espectro de massas e índice de retenção linear com os da biblioteca de espectros e literatura (6). As substâncias majoritárias voláteis de </w:t>
      </w:r>
      <w:r w:rsidRPr="003261FC">
        <w:rPr>
          <w:rFonts w:ascii="Arial" w:eastAsia="Times New Roman" w:hAnsi="Arial" w:cs="Arial"/>
          <w:i/>
          <w:lang w:eastAsia="pt-BR"/>
        </w:rPr>
        <w:t xml:space="preserve">L. </w:t>
      </w:r>
      <w:proofErr w:type="spellStart"/>
      <w:r w:rsidRPr="003261FC">
        <w:rPr>
          <w:rFonts w:ascii="Arial" w:eastAsia="Times New Roman" w:hAnsi="Arial" w:cs="Arial"/>
          <w:i/>
          <w:lang w:eastAsia="pt-BR"/>
        </w:rPr>
        <w:t>origanoides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foram p-</w:t>
      </w:r>
      <w:proofErr w:type="spellStart"/>
      <w:r w:rsidRPr="003261FC">
        <w:rPr>
          <w:rFonts w:ascii="Arial" w:eastAsia="Times New Roman" w:hAnsi="Arial" w:cs="Arial"/>
          <w:lang w:eastAsia="pt-BR"/>
        </w:rPr>
        <w:t>cimeno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(6,4-14,5%), γ-</w:t>
      </w:r>
      <w:proofErr w:type="spellStart"/>
      <w:r w:rsidRPr="003261FC">
        <w:rPr>
          <w:rFonts w:ascii="Arial" w:eastAsia="Times New Roman" w:hAnsi="Arial" w:cs="Arial"/>
          <w:lang w:eastAsia="pt-BR"/>
        </w:rPr>
        <w:t>terpineno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(1,8-6,7%), </w:t>
      </w:r>
      <w:proofErr w:type="spellStart"/>
      <w:r w:rsidRPr="003261FC">
        <w:rPr>
          <w:rFonts w:ascii="Arial" w:eastAsia="Times New Roman" w:hAnsi="Arial" w:cs="Arial"/>
          <w:lang w:eastAsia="pt-BR"/>
        </w:rPr>
        <w:t>linalol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(2,5-8,3%), timol (3,0-8,1%), </w:t>
      </w:r>
      <w:proofErr w:type="spellStart"/>
      <w:r w:rsidRPr="003261FC">
        <w:rPr>
          <w:rFonts w:ascii="Arial" w:eastAsia="Times New Roman" w:hAnsi="Arial" w:cs="Arial"/>
          <w:lang w:eastAsia="pt-BR"/>
        </w:rPr>
        <w:t>carvacrol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(27,9-45,9%) e β-</w:t>
      </w:r>
      <w:proofErr w:type="spellStart"/>
      <w:r w:rsidRPr="003261FC">
        <w:rPr>
          <w:rFonts w:ascii="Arial" w:eastAsia="Times New Roman" w:hAnsi="Arial" w:cs="Arial"/>
          <w:lang w:eastAsia="pt-BR"/>
        </w:rPr>
        <w:t>cariofileno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(2,0-5,3%). Neste estudo o teor de </w:t>
      </w:r>
      <w:proofErr w:type="spellStart"/>
      <w:r w:rsidRPr="003261FC">
        <w:rPr>
          <w:rFonts w:ascii="Arial" w:eastAsia="Times New Roman" w:hAnsi="Arial" w:cs="Arial"/>
          <w:lang w:eastAsia="pt-BR"/>
        </w:rPr>
        <w:t>carvacrol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foi mais acentuado no material de campo (35,1-45,9%), em relação às plantas in vitro (27,9-42,0%) e </w:t>
      </w:r>
      <w:proofErr w:type="spellStart"/>
      <w:r w:rsidRPr="003261FC">
        <w:rPr>
          <w:rFonts w:ascii="Arial" w:eastAsia="Times New Roman" w:hAnsi="Arial" w:cs="Arial"/>
          <w:lang w:eastAsia="pt-BR"/>
        </w:rPr>
        <w:t>ex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vitro (40,5-42,6%). Visto que o </w:t>
      </w:r>
      <w:proofErr w:type="spellStart"/>
      <w:r w:rsidRPr="003261FC">
        <w:rPr>
          <w:rFonts w:ascii="Arial" w:eastAsia="Times New Roman" w:hAnsi="Arial" w:cs="Arial"/>
          <w:lang w:eastAsia="pt-BR"/>
        </w:rPr>
        <w:t>carvacrol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tem sido associado ao aroma de orégano, seu elevado teor pode ser considerado economicamente interessante e importante para a sua aceitação para fins condimentares. As análises indicam que este material pertence ao </w:t>
      </w:r>
      <w:proofErr w:type="spellStart"/>
      <w:r w:rsidRPr="003261FC">
        <w:rPr>
          <w:rFonts w:ascii="Arial" w:eastAsia="Times New Roman" w:hAnsi="Arial" w:cs="Arial"/>
          <w:lang w:eastAsia="pt-BR"/>
        </w:rPr>
        <w:t>quimiotipo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B e que houve diminuição no teor percentual de </w:t>
      </w:r>
      <w:proofErr w:type="spellStart"/>
      <w:r w:rsidRPr="003261FC">
        <w:rPr>
          <w:rFonts w:ascii="Arial" w:eastAsia="Times New Roman" w:hAnsi="Arial" w:cs="Arial"/>
          <w:lang w:eastAsia="pt-BR"/>
        </w:rPr>
        <w:t>carvacrol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nas plantas in vitro e </w:t>
      </w:r>
      <w:proofErr w:type="spellStart"/>
      <w:r w:rsidRPr="003261FC">
        <w:rPr>
          <w:rFonts w:ascii="Arial" w:eastAsia="Times New Roman" w:hAnsi="Arial" w:cs="Arial"/>
          <w:lang w:eastAsia="pt-BR"/>
        </w:rPr>
        <w:t>ex</w:t>
      </w:r>
      <w:proofErr w:type="spellEnd"/>
      <w:r w:rsidRPr="003261FC">
        <w:rPr>
          <w:rFonts w:ascii="Arial" w:eastAsia="Times New Roman" w:hAnsi="Arial" w:cs="Arial"/>
          <w:lang w:eastAsia="pt-BR"/>
        </w:rPr>
        <w:t xml:space="preserve"> vitro, se comparadas com plantas de campo.</w:t>
      </w:r>
    </w:p>
    <w:p w:rsidR="00FA5E22" w:rsidRPr="003261FC" w:rsidRDefault="00FA5E22" w:rsidP="00B45022">
      <w:pPr>
        <w:spacing w:after="0" w:line="240" w:lineRule="auto"/>
        <w:jc w:val="both"/>
        <w:rPr>
          <w:rStyle w:val="hps"/>
          <w:rFonts w:ascii="Arial" w:hAnsi="Arial" w:cs="Arial"/>
        </w:rPr>
      </w:pPr>
    </w:p>
    <w:p w:rsidR="003261FC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261FC">
        <w:rPr>
          <w:rFonts w:ascii="Arial" w:hAnsi="Arial" w:cs="Arial"/>
          <w:sz w:val="20"/>
          <w:szCs w:val="20"/>
          <w:lang w:val="en-US"/>
        </w:rPr>
        <w:t xml:space="preserve">1. Pascual et al., Journal of Ethnopharmacology, 2001, 76, 201–214. </w:t>
      </w:r>
    </w:p>
    <w:p w:rsidR="003261FC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61FC">
        <w:rPr>
          <w:rFonts w:ascii="Arial" w:hAnsi="Arial" w:cs="Arial"/>
          <w:sz w:val="20"/>
          <w:szCs w:val="20"/>
        </w:rPr>
        <w:t xml:space="preserve">2. Silva et al., Horticultura Brasileira, 2015,33, 236-240. </w:t>
      </w:r>
    </w:p>
    <w:p w:rsidR="003261FC" w:rsidRPr="003261FC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261FC">
        <w:rPr>
          <w:rFonts w:ascii="Arial" w:hAnsi="Arial" w:cs="Arial"/>
          <w:sz w:val="20"/>
          <w:szCs w:val="20"/>
          <w:lang w:val="en-US"/>
        </w:rPr>
        <w:t xml:space="preserve">3. Oliveira et al., Food Chemistry,2007, 101, 236–240. </w:t>
      </w:r>
    </w:p>
    <w:p w:rsidR="003261FC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261FC">
        <w:rPr>
          <w:rFonts w:ascii="Arial" w:hAnsi="Arial" w:cs="Arial"/>
          <w:sz w:val="20"/>
          <w:szCs w:val="20"/>
          <w:lang w:val="en-US"/>
        </w:rPr>
        <w:t xml:space="preserve">4. Ribeiro et al. Biochemical Systematics and Ecology, 2014, 55,249-259. </w:t>
      </w:r>
    </w:p>
    <w:p w:rsidR="003261FC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261FC">
        <w:rPr>
          <w:rFonts w:ascii="Arial" w:hAnsi="Arial" w:cs="Arial"/>
          <w:sz w:val="20"/>
          <w:szCs w:val="20"/>
          <w:lang w:val="en-US"/>
        </w:rPr>
        <w:t xml:space="preserve">5. </w:t>
      </w:r>
      <w:proofErr w:type="spellStart"/>
      <w:r w:rsidRPr="003261FC">
        <w:rPr>
          <w:rFonts w:ascii="Arial" w:hAnsi="Arial" w:cs="Arial"/>
          <w:sz w:val="20"/>
          <w:szCs w:val="20"/>
          <w:lang w:val="en-US"/>
        </w:rPr>
        <w:t>Murashige</w:t>
      </w:r>
      <w:proofErr w:type="spellEnd"/>
      <w:r w:rsidRPr="003261FC">
        <w:rPr>
          <w:rFonts w:ascii="Arial" w:hAnsi="Arial" w:cs="Arial"/>
          <w:sz w:val="20"/>
          <w:szCs w:val="20"/>
          <w:lang w:val="en-US"/>
        </w:rPr>
        <w:t xml:space="preserve">, T. and Skoog, F. </w:t>
      </w:r>
      <w:proofErr w:type="spellStart"/>
      <w:r w:rsidRPr="003261FC">
        <w:rPr>
          <w:rFonts w:ascii="Arial" w:hAnsi="Arial" w:cs="Arial"/>
          <w:sz w:val="20"/>
          <w:szCs w:val="20"/>
          <w:lang w:val="en-US"/>
        </w:rPr>
        <w:t>PhysiologiaPlantarum</w:t>
      </w:r>
      <w:proofErr w:type="spellEnd"/>
      <w:r w:rsidRPr="003261FC">
        <w:rPr>
          <w:rFonts w:ascii="Arial" w:hAnsi="Arial" w:cs="Arial"/>
          <w:sz w:val="20"/>
          <w:szCs w:val="20"/>
          <w:lang w:val="en-US"/>
        </w:rPr>
        <w:t xml:space="preserve">, 1962, 15, 473-497. </w:t>
      </w:r>
    </w:p>
    <w:p w:rsidR="003261FC" w:rsidRPr="009021AA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261FC">
        <w:rPr>
          <w:rFonts w:ascii="Arial" w:hAnsi="Arial" w:cs="Arial"/>
          <w:sz w:val="20"/>
          <w:szCs w:val="20"/>
          <w:lang w:val="en-US"/>
        </w:rPr>
        <w:t xml:space="preserve">6. Adams, R.P. 4 </w:t>
      </w:r>
      <w:proofErr w:type="spellStart"/>
      <w:r w:rsidRPr="003261FC">
        <w:rPr>
          <w:rFonts w:ascii="Arial" w:hAnsi="Arial" w:cs="Arial"/>
          <w:sz w:val="20"/>
          <w:szCs w:val="20"/>
          <w:lang w:val="en-US"/>
        </w:rPr>
        <w:t>th</w:t>
      </w:r>
      <w:proofErr w:type="spellEnd"/>
      <w:r w:rsidRPr="003261FC">
        <w:rPr>
          <w:rFonts w:ascii="Arial" w:hAnsi="Arial" w:cs="Arial"/>
          <w:sz w:val="20"/>
          <w:szCs w:val="20"/>
          <w:lang w:val="en-US"/>
        </w:rPr>
        <w:t xml:space="preserve"> ed. </w:t>
      </w:r>
      <w:r w:rsidRPr="009021AA">
        <w:rPr>
          <w:rFonts w:ascii="Arial" w:hAnsi="Arial" w:cs="Arial"/>
          <w:sz w:val="20"/>
          <w:szCs w:val="20"/>
          <w:lang w:val="en-US"/>
        </w:rPr>
        <w:t xml:space="preserve">Carol Stream, IL: Allured </w:t>
      </w:r>
      <w:proofErr w:type="spellStart"/>
      <w:r w:rsidRPr="009021AA">
        <w:rPr>
          <w:rFonts w:ascii="Arial" w:hAnsi="Arial" w:cs="Arial"/>
          <w:sz w:val="20"/>
          <w:szCs w:val="20"/>
          <w:lang w:val="en-US"/>
        </w:rPr>
        <w:t>Publishg</w:t>
      </w:r>
      <w:proofErr w:type="spellEnd"/>
      <w:r w:rsidRPr="009021AA">
        <w:rPr>
          <w:rFonts w:ascii="Arial" w:hAnsi="Arial" w:cs="Arial"/>
          <w:sz w:val="20"/>
          <w:szCs w:val="20"/>
          <w:lang w:val="en-US"/>
        </w:rPr>
        <w:t xml:space="preserve"> Co., 2007 </w:t>
      </w:r>
    </w:p>
    <w:p w:rsidR="003261FC" w:rsidRPr="009021AA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27278" w:rsidRPr="003261FC" w:rsidRDefault="003261FC" w:rsidP="003261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61FC">
        <w:rPr>
          <w:rFonts w:ascii="Arial" w:hAnsi="Arial" w:cs="Arial"/>
          <w:sz w:val="20"/>
          <w:szCs w:val="20"/>
        </w:rPr>
        <w:t>Agradecimentos: FAPERJ, CAPES, CNPq, Embrapa Agroindústria de Alimentos</w:t>
      </w:r>
    </w:p>
    <w:sectPr w:rsidR="00B27278" w:rsidRPr="003261FC" w:rsidSect="00401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CUP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1E3E"/>
    <w:multiLevelType w:val="hybridMultilevel"/>
    <w:tmpl w:val="C39E1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6DCA"/>
    <w:multiLevelType w:val="hybridMultilevel"/>
    <w:tmpl w:val="B8E498D8"/>
    <w:lvl w:ilvl="0" w:tplc="C1A68FEC">
      <w:start w:val="2"/>
      <w:numFmt w:val="decimal"/>
      <w:lvlText w:val="%1."/>
      <w:lvlJc w:val="left"/>
      <w:pPr>
        <w:ind w:left="720" w:hanging="360"/>
      </w:pPr>
      <w:rPr>
        <w:rFonts w:ascii="TimesCUP" w:hAnsi="TimesCUP" w:cs="TimesCUP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9E2"/>
    <w:multiLevelType w:val="hybridMultilevel"/>
    <w:tmpl w:val="BC049294"/>
    <w:lvl w:ilvl="0" w:tplc="E65879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C6"/>
    <w:rsid w:val="00032F8A"/>
    <w:rsid w:val="00083B12"/>
    <w:rsid w:val="000B0FB9"/>
    <w:rsid w:val="00131A30"/>
    <w:rsid w:val="001A7C52"/>
    <w:rsid w:val="00206522"/>
    <w:rsid w:val="002876D8"/>
    <w:rsid w:val="003261FC"/>
    <w:rsid w:val="003662F9"/>
    <w:rsid w:val="003D7961"/>
    <w:rsid w:val="003E454E"/>
    <w:rsid w:val="003E789B"/>
    <w:rsid w:val="00401E49"/>
    <w:rsid w:val="004512B9"/>
    <w:rsid w:val="00474302"/>
    <w:rsid w:val="004F5B2C"/>
    <w:rsid w:val="00556A3C"/>
    <w:rsid w:val="005B15A3"/>
    <w:rsid w:val="00793ED9"/>
    <w:rsid w:val="007B2688"/>
    <w:rsid w:val="008251A1"/>
    <w:rsid w:val="0083516C"/>
    <w:rsid w:val="009021AA"/>
    <w:rsid w:val="00923E60"/>
    <w:rsid w:val="00926047"/>
    <w:rsid w:val="00931A4B"/>
    <w:rsid w:val="00962CFE"/>
    <w:rsid w:val="009658FC"/>
    <w:rsid w:val="00991A3D"/>
    <w:rsid w:val="00AB3EC0"/>
    <w:rsid w:val="00AD0EEF"/>
    <w:rsid w:val="00AE4220"/>
    <w:rsid w:val="00B10019"/>
    <w:rsid w:val="00B12C02"/>
    <w:rsid w:val="00B16439"/>
    <w:rsid w:val="00B27278"/>
    <w:rsid w:val="00B45022"/>
    <w:rsid w:val="00B47AE2"/>
    <w:rsid w:val="00B50ED3"/>
    <w:rsid w:val="00BE08B1"/>
    <w:rsid w:val="00BE1167"/>
    <w:rsid w:val="00C276C6"/>
    <w:rsid w:val="00C57926"/>
    <w:rsid w:val="00C85819"/>
    <w:rsid w:val="00D31526"/>
    <w:rsid w:val="00D7241A"/>
    <w:rsid w:val="00DA4259"/>
    <w:rsid w:val="00DB5A90"/>
    <w:rsid w:val="00DC4416"/>
    <w:rsid w:val="00E84BB9"/>
    <w:rsid w:val="00E87D3B"/>
    <w:rsid w:val="00EB4B1C"/>
    <w:rsid w:val="00F462B3"/>
    <w:rsid w:val="00FA5E22"/>
    <w:rsid w:val="00FB5503"/>
    <w:rsid w:val="00FC1EC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CC5"/>
  <w15:docId w15:val="{DE91E5BB-1DB8-4098-BA8D-09797A3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EB4B1C"/>
  </w:style>
  <w:style w:type="paragraph" w:customStyle="1" w:styleId="PargrafodaLista1">
    <w:name w:val="Parágrafo da Lista1"/>
    <w:basedOn w:val="Normal"/>
    <w:uiPriority w:val="99"/>
    <w:rsid w:val="00AE4220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Fontepargpadro"/>
    <w:rsid w:val="00206522"/>
  </w:style>
  <w:style w:type="paragraph" w:styleId="PargrafodaLista">
    <w:name w:val="List Paragraph"/>
    <w:basedOn w:val="Normal"/>
    <w:uiPriority w:val="34"/>
    <w:qFormat/>
    <w:rsid w:val="008251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Ferreira</dc:creator>
  <cp:lastModifiedBy>Usuário do Microsoft Office</cp:lastModifiedBy>
  <cp:revision>4</cp:revision>
  <dcterms:created xsi:type="dcterms:W3CDTF">2019-01-17T19:14:00Z</dcterms:created>
  <dcterms:modified xsi:type="dcterms:W3CDTF">2019-01-17T20:26:00Z</dcterms:modified>
</cp:coreProperties>
</file>